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34EFE" w14:textId="5A896E58" w:rsidR="00AD52F9" w:rsidRDefault="00AD52F9" w:rsidP="00AD52F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D306C">
        <w:rPr>
          <w:rFonts w:ascii="Arial" w:eastAsia="Arial" w:hAnsi="Arial" w:cs="Arial"/>
          <w:color w:val="000000"/>
        </w:rPr>
        <w:t>Nr referencyjny: 0</w:t>
      </w:r>
      <w:r w:rsidR="00044C1F" w:rsidRPr="008D306C">
        <w:rPr>
          <w:rFonts w:ascii="Arial" w:eastAsia="Arial" w:hAnsi="Arial" w:cs="Arial"/>
          <w:color w:val="000000"/>
        </w:rPr>
        <w:t>2</w:t>
      </w:r>
      <w:r w:rsidRPr="008D306C">
        <w:rPr>
          <w:rFonts w:ascii="Arial" w:eastAsia="Arial" w:hAnsi="Arial" w:cs="Arial"/>
          <w:color w:val="000000"/>
        </w:rPr>
        <w:t xml:space="preserve">/02/2020/RJ z dn. </w:t>
      </w:r>
      <w:r w:rsidR="004759F0">
        <w:rPr>
          <w:rFonts w:ascii="Arial" w:eastAsia="Arial" w:hAnsi="Arial" w:cs="Arial"/>
          <w:color w:val="000000"/>
        </w:rPr>
        <w:t>2</w:t>
      </w:r>
      <w:r w:rsidR="00A9576E">
        <w:rPr>
          <w:rFonts w:ascii="Arial" w:eastAsia="Arial" w:hAnsi="Arial" w:cs="Arial"/>
          <w:color w:val="000000"/>
        </w:rPr>
        <w:t>.0</w:t>
      </w:r>
      <w:r w:rsidR="004759F0">
        <w:rPr>
          <w:rFonts w:ascii="Arial" w:eastAsia="Arial" w:hAnsi="Arial" w:cs="Arial"/>
          <w:color w:val="000000"/>
        </w:rPr>
        <w:t>3</w:t>
      </w:r>
      <w:r w:rsidR="00A9576E">
        <w:rPr>
          <w:rFonts w:ascii="Arial" w:eastAsia="Arial" w:hAnsi="Arial" w:cs="Arial"/>
          <w:color w:val="000000"/>
        </w:rPr>
        <w:t>.2020.</w:t>
      </w:r>
    </w:p>
    <w:p w14:paraId="7E1A62CD" w14:textId="77777777" w:rsidR="00AD52F9" w:rsidRDefault="00AD52F9" w:rsidP="00AD52F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Załącznik nr 1 do zapytania ofertowego - Opis Przedmiotu Zamówienia </w:t>
      </w:r>
    </w:p>
    <w:p w14:paraId="641E1F4A" w14:textId="77777777" w:rsidR="00AD52F9" w:rsidRDefault="00AD52F9" w:rsidP="00AD52F9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b/>
          <w:color w:val="000000"/>
        </w:rPr>
      </w:pPr>
    </w:p>
    <w:p w14:paraId="1248EF92" w14:textId="7EE2F6AC" w:rsidR="00AD52F9" w:rsidRDefault="00AD52F9" w:rsidP="00AD52F9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OPIS PRZEDMIOTU ZAMÓWIENIA</w:t>
      </w:r>
    </w:p>
    <w:p w14:paraId="131B7C46" w14:textId="77777777" w:rsidR="00AD52F9" w:rsidRDefault="00AD52F9" w:rsidP="00AD52F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Przedmiotem zamówienia jest usługa polegająca na:</w:t>
      </w:r>
    </w:p>
    <w:p w14:paraId="207B40CE" w14:textId="6BCC06C0" w:rsidR="00AD52F9" w:rsidRPr="00432309" w:rsidRDefault="00907B25" w:rsidP="00AD52F9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Theme="majorHAnsi" w:eastAsia="Calibri" w:hAnsiTheme="majorHAnsi" w:cstheme="majorHAnsi"/>
          <w:i/>
          <w:color w:val="000000"/>
          <w:sz w:val="22"/>
          <w:szCs w:val="22"/>
        </w:rPr>
      </w:pPr>
      <w:r>
        <w:rPr>
          <w:rFonts w:asciiTheme="majorHAnsi" w:eastAsia="Calibri" w:hAnsiTheme="majorHAnsi" w:cstheme="majorHAnsi"/>
          <w:i/>
          <w:color w:val="000000"/>
          <w:sz w:val="22"/>
          <w:szCs w:val="22"/>
        </w:rPr>
        <w:t>Zaprojektowaniu, wykonaniu, transporcie</w:t>
      </w:r>
      <w:r w:rsidR="006C6BFE">
        <w:rPr>
          <w:rFonts w:asciiTheme="majorHAnsi" w:eastAsia="Calibri" w:hAnsiTheme="majorHAnsi" w:cstheme="majorHAnsi"/>
          <w:i/>
          <w:color w:val="000000"/>
          <w:sz w:val="22"/>
          <w:szCs w:val="22"/>
        </w:rPr>
        <w:t xml:space="preserve"> i </w:t>
      </w:r>
      <w:r w:rsidR="00AD52F9" w:rsidRPr="00432309">
        <w:rPr>
          <w:rFonts w:asciiTheme="majorHAnsi" w:eastAsia="Calibri" w:hAnsiTheme="majorHAnsi" w:cstheme="majorHAnsi"/>
          <w:i/>
          <w:color w:val="000000"/>
          <w:sz w:val="22"/>
          <w:szCs w:val="22"/>
        </w:rPr>
        <w:t>montażu 33 tablic wraz z wytypowaniem lokalizacji i</w:t>
      </w:r>
      <w:r w:rsidR="0053174E">
        <w:rPr>
          <w:rFonts w:asciiTheme="majorHAnsi" w:eastAsia="Calibri" w:hAnsiTheme="majorHAnsi" w:cstheme="majorHAnsi"/>
          <w:i/>
          <w:sz w:val="22"/>
          <w:szCs w:val="22"/>
        </w:rPr>
        <w:t> </w:t>
      </w:r>
      <w:r w:rsidR="00AD52F9" w:rsidRPr="00432309">
        <w:rPr>
          <w:rFonts w:asciiTheme="majorHAnsi" w:eastAsia="Calibri" w:hAnsiTheme="majorHAnsi" w:cstheme="majorHAnsi"/>
          <w:i/>
          <w:color w:val="000000"/>
          <w:sz w:val="22"/>
          <w:szCs w:val="22"/>
        </w:rPr>
        <w:t>zdobyciem wymaganych pozwoleń od zarządców terenu (Urzędy Gminy, Urzędy Morskie itp.) na posadowienie tablic, jak również konserwacji tablic informacyjnych na wybrzeżu Bałtyku (tzw. Błękitnych Tablic) postawionych w ramach projektu „Ochrona ssaków i ptaków morskich i ich siedlisk” nr</w:t>
      </w:r>
      <w:r w:rsidR="0053174E">
        <w:rPr>
          <w:rFonts w:asciiTheme="majorHAnsi" w:eastAsia="Calibri" w:hAnsiTheme="majorHAnsi" w:cstheme="majorHAnsi"/>
          <w:i/>
          <w:color w:val="000000"/>
          <w:sz w:val="22"/>
          <w:szCs w:val="22"/>
        </w:rPr>
        <w:t> </w:t>
      </w:r>
      <w:r w:rsidR="00AD52F9" w:rsidRPr="00432309">
        <w:rPr>
          <w:rFonts w:asciiTheme="majorHAnsi" w:eastAsia="Calibri" w:hAnsiTheme="majorHAnsi" w:cstheme="majorHAnsi"/>
          <w:i/>
          <w:color w:val="000000"/>
          <w:sz w:val="22"/>
          <w:szCs w:val="22"/>
        </w:rPr>
        <w:t>POIS.02.04.00-00-0021/16, w ramach działania 2.4 osi priorytetowej II Programu Operacyjnego Infrastruktura i Środowisko 2014-2020</w:t>
      </w:r>
      <w:bookmarkStart w:id="0" w:name="_GoBack"/>
      <w:bookmarkEnd w:id="0"/>
    </w:p>
    <w:p w14:paraId="6C310D98" w14:textId="27F0E87C" w:rsidR="00FC3E81" w:rsidRDefault="00FC3E81"/>
    <w:p w14:paraId="514B1DDA" w14:textId="77777777" w:rsidR="00AD52F9" w:rsidRDefault="00AD52F9" w:rsidP="00AD52F9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Calibri" w:eastAsia="Calibri" w:hAnsi="Calibri" w:cs="Calibri"/>
          <w:color w:val="000000"/>
        </w:rPr>
      </w:pPr>
    </w:p>
    <w:p w14:paraId="49C522DD" w14:textId="77777777" w:rsidR="00AD52F9" w:rsidRDefault="00AD52F9" w:rsidP="00AD52F9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</w:rPr>
        <w:t xml:space="preserve">a) </w:t>
      </w:r>
      <w:r>
        <w:rPr>
          <w:rFonts w:ascii="Calibri" w:eastAsia="Calibri" w:hAnsi="Calibri" w:cs="Calibri"/>
          <w:b/>
          <w:color w:val="000000"/>
        </w:rPr>
        <w:t>Wytypowanie lokalizacji, organizacja niezbędnych pozwoleń na posadowienie tablic od zarządców terenu oraz monitorowanie procesu stawiania tablic/nadzór</w:t>
      </w:r>
    </w:p>
    <w:p w14:paraId="2AD75CFE" w14:textId="77777777" w:rsidR="00AD52F9" w:rsidRDefault="00AD52F9" w:rsidP="00AD52F9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Calibri" w:eastAsia="Calibri" w:hAnsi="Calibri" w:cs="Calibri"/>
          <w:color w:val="000000"/>
        </w:rPr>
      </w:pPr>
    </w:p>
    <w:p w14:paraId="2317348C" w14:textId="77777777" w:rsidR="00AD52F9" w:rsidRDefault="00AD52F9" w:rsidP="00AD52F9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Zadanie obejmuje:</w:t>
      </w:r>
    </w:p>
    <w:p w14:paraId="4C47A225" w14:textId="6B73A822" w:rsidR="00AD52F9" w:rsidRDefault="00AD52F9" w:rsidP="00AD52F9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 Wytypowanie (na podstawi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color w:val="000000"/>
        </w:rPr>
        <w:t>wskazanego przez Zamawiającego wykazu gmin i miejscowości</w:t>
      </w:r>
      <w:r w:rsidR="009706E3">
        <w:rPr>
          <w:rFonts w:ascii="Calibri" w:eastAsia="Calibri" w:hAnsi="Calibri" w:cs="Calibri"/>
          <w:color w:val="000000"/>
        </w:rPr>
        <w:t>, a także swojej wiedzy i doświadczeń</w:t>
      </w:r>
      <w:r>
        <w:rPr>
          <w:rFonts w:ascii="Calibri" w:eastAsia="Calibri" w:hAnsi="Calibri" w:cs="Calibri"/>
          <w:color w:val="000000"/>
        </w:rPr>
        <w:t>) nowych 33 lokalizacji tablic, w których dotychczas tablice nie były ustawione (w ramach poprzednich dwóch projektów).</w:t>
      </w:r>
    </w:p>
    <w:p w14:paraId="732443A0" w14:textId="77777777" w:rsidR="00AD52F9" w:rsidRDefault="00AD52F9" w:rsidP="00AD52F9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 Nawiązanie kontaktów z lokalnymi władzami i przedstawieni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color w:val="000000"/>
        </w:rPr>
        <w:t xml:space="preserve"> propozycji współpracy w zakresie ustawienia tablic.</w:t>
      </w:r>
    </w:p>
    <w:p w14:paraId="51433754" w14:textId="77777777" w:rsidR="00AD52F9" w:rsidRDefault="00AD52F9" w:rsidP="00AD52F9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 Przygotowanie i wysłanie odpowiednich pism - wniosków do zarządców terenu oraz, w razie potrzeby, przedstawienie odpowiedniej dokumentacji (w tym dokumentacji graficznej, projektów, map) w terminie zapewniającym możliwość realizacji usługi. Jest to bardzo istotna kwestia ponieważ proces zdobywania pozwoleń może trwać nawet do 2 miesięcy. Zamawiający sugeruje w pierwszej kolejności zająć się właśnie tą częścią zamówienia</w:t>
      </w:r>
    </w:p>
    <w:p w14:paraId="1AAE6211" w14:textId="77777777" w:rsidR="00AD52F9" w:rsidRDefault="00AD52F9" w:rsidP="00AD52F9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 Uzyskanie wymaganych pozwoleń  (do wglądu Zamawiającego) od zarządców teren</w:t>
      </w:r>
      <w:r>
        <w:rPr>
          <w:rFonts w:ascii="Calibri" w:eastAsia="Calibri" w:hAnsi="Calibri" w:cs="Calibri"/>
        </w:rPr>
        <w:t>ów</w:t>
      </w:r>
      <w:r>
        <w:rPr>
          <w:rFonts w:ascii="Calibri" w:eastAsia="Calibri" w:hAnsi="Calibri" w:cs="Calibri"/>
          <w:color w:val="000000"/>
        </w:rPr>
        <w:t xml:space="preserve"> (m.in. urzędy morskie, urzędy gminy, urzędy miejskie, nadleśnictwa, starostwa) na posadowienie tablic w uzgodnionych lokalizacjach </w:t>
      </w:r>
    </w:p>
    <w:p w14:paraId="2EF4E3C5" w14:textId="494B5F67" w:rsidR="00AD52F9" w:rsidRDefault="00AD52F9" w:rsidP="00AD52F9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Monitorowania procesu stawiania tablic – dopilnowanie posadowienia tablic we wskazanym przez Zamawiającego terminie, dopilnowanie </w:t>
      </w:r>
      <w:r>
        <w:rPr>
          <w:rFonts w:ascii="Calibri" w:eastAsia="Calibri" w:hAnsi="Calibri" w:cs="Calibri"/>
        </w:rPr>
        <w:t>poprawnego</w:t>
      </w:r>
      <w:r>
        <w:rPr>
          <w:rFonts w:ascii="Calibri" w:eastAsia="Calibri" w:hAnsi="Calibri" w:cs="Calibri"/>
          <w:color w:val="000000"/>
        </w:rPr>
        <w:t xml:space="preserve"> montażu tablic w terenie.</w:t>
      </w:r>
      <w:r w:rsidR="009706E3">
        <w:rPr>
          <w:rFonts w:ascii="Calibri" w:eastAsia="Calibri" w:hAnsi="Calibri" w:cs="Calibri"/>
          <w:color w:val="000000"/>
        </w:rPr>
        <w:t xml:space="preserve"> Tablice powinny umieszczone być w taki sposób, aby obie części tablic były widoczne dla osób poruszających się w ciągach komunikacyjnych, gdzie tablice zostaną umieszczone.</w:t>
      </w:r>
    </w:p>
    <w:p w14:paraId="03D2BBE3" w14:textId="77777777" w:rsidR="00AD52F9" w:rsidRDefault="00AD52F9" w:rsidP="00AD52F9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Calibri" w:eastAsia="Calibri" w:hAnsi="Calibri" w:cs="Calibri"/>
          <w:color w:val="000000"/>
        </w:rPr>
      </w:pPr>
    </w:p>
    <w:p w14:paraId="467E933C" w14:textId="77777777" w:rsidR="00AD52F9" w:rsidRDefault="00AD52F9" w:rsidP="00AD52F9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Dodatkowe informacje dotyczące organizacji pozwoleń:</w:t>
      </w:r>
    </w:p>
    <w:p w14:paraId="00E33F3D" w14:textId="77777777" w:rsidR="00AD52F9" w:rsidRDefault="00AD52F9" w:rsidP="00AD52F9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Rozmieszczenie tablic przewidziane jest na całej długości polskiego wybrzeża. Tablice powinny zostać zlokalizowane w miejscach widocznych i dostępnych dla turystów, przy wejściach na plaże, w pobliżu ścieżek na plaże itp., w miejscach, gdzie tablice nie zostały jeszcze posadowione w ramach realizacji wcześniejszych projektów. </w:t>
      </w:r>
    </w:p>
    <w:p w14:paraId="28FDC3DB" w14:textId="77777777" w:rsidR="00AD52F9" w:rsidRDefault="00AD52F9" w:rsidP="00AD52F9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Przybliżony rozkład tablic (</w:t>
      </w:r>
      <w:r>
        <w:rPr>
          <w:rFonts w:ascii="Calibri" w:eastAsia="Calibri" w:hAnsi="Calibri" w:cs="Calibri"/>
        </w:rPr>
        <w:t>może ulec zmianie)</w:t>
      </w:r>
      <w:r>
        <w:rPr>
          <w:rFonts w:ascii="Calibri" w:eastAsia="Calibri" w:hAnsi="Calibri" w:cs="Calibri"/>
          <w:color w:val="000000"/>
        </w:rPr>
        <w:t xml:space="preserve">: </w:t>
      </w:r>
    </w:p>
    <w:p w14:paraId="2A4F60FC" w14:textId="77777777" w:rsidR="00AD52F9" w:rsidRPr="0043516C" w:rsidRDefault="00AD52F9" w:rsidP="00AD52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</w:pPr>
      <w:r w:rsidRPr="0043516C">
        <w:rPr>
          <w:rFonts w:ascii="Calibri" w:eastAsia="Calibri" w:hAnsi="Calibri" w:cs="Calibri"/>
        </w:rPr>
        <w:t xml:space="preserve">Odcinek Świnoujście – Kołobrzeg (z wyłączeniem Kołobrzegu) 8-16 tablic, </w:t>
      </w:r>
    </w:p>
    <w:p w14:paraId="424859E8" w14:textId="77777777" w:rsidR="00AD52F9" w:rsidRPr="0043516C" w:rsidRDefault="00AD52F9" w:rsidP="00AD52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</w:pPr>
      <w:r w:rsidRPr="0043516C">
        <w:rPr>
          <w:rFonts w:ascii="Calibri" w:eastAsia="Calibri" w:hAnsi="Calibri" w:cs="Calibri"/>
        </w:rPr>
        <w:t xml:space="preserve">odcinek Kołobrzeg – granica województw Zachodniopomorskiego i Pomorskiego 6-12 tablic, </w:t>
      </w:r>
    </w:p>
    <w:p w14:paraId="6CADFDDF" w14:textId="77777777" w:rsidR="00AD52F9" w:rsidRPr="0043516C" w:rsidRDefault="00AD52F9" w:rsidP="00AD52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</w:pPr>
      <w:r w:rsidRPr="0043516C">
        <w:rPr>
          <w:rFonts w:ascii="Calibri" w:eastAsia="Calibri" w:hAnsi="Calibri" w:cs="Calibri"/>
        </w:rPr>
        <w:t xml:space="preserve">granica województw Zachodniopomorskiego i Pomorskiego – Karwia 6-10 tablic, </w:t>
      </w:r>
    </w:p>
    <w:p w14:paraId="69F13B69" w14:textId="77777777" w:rsidR="00AD52F9" w:rsidRPr="0043516C" w:rsidRDefault="00AD52F9" w:rsidP="00AD52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</w:pPr>
      <w:r w:rsidRPr="0043516C">
        <w:rPr>
          <w:rFonts w:ascii="Calibri" w:eastAsia="Calibri" w:hAnsi="Calibri" w:cs="Calibri"/>
        </w:rPr>
        <w:t xml:space="preserve">odcinek Karwia – Świbno (wraz z półwyspem Helskim) 8-16 tablic, </w:t>
      </w:r>
    </w:p>
    <w:p w14:paraId="66811E75" w14:textId="77777777" w:rsidR="00AD52F9" w:rsidRPr="0043516C" w:rsidRDefault="00AD52F9" w:rsidP="00AD52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</w:pPr>
      <w:r w:rsidRPr="0043516C">
        <w:rPr>
          <w:rFonts w:ascii="Calibri" w:eastAsia="Calibri" w:hAnsi="Calibri" w:cs="Calibri"/>
        </w:rPr>
        <w:t>Odcinek Mikoszewo – Piaski 5-10 tablic</w:t>
      </w:r>
    </w:p>
    <w:p w14:paraId="6013B5AF" w14:textId="6A66B386" w:rsidR="00AD52F9" w:rsidRDefault="00AD52F9"/>
    <w:p w14:paraId="06BE5EC5" w14:textId="189DC667" w:rsidR="006C6BFE" w:rsidRDefault="00AD52F9" w:rsidP="00AD52F9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b) </w:t>
      </w:r>
      <w:r w:rsidR="00907B25">
        <w:rPr>
          <w:rFonts w:ascii="Calibri" w:eastAsia="Calibri" w:hAnsi="Calibri" w:cs="Calibri"/>
          <w:b/>
        </w:rPr>
        <w:t>projekt graficzny</w:t>
      </w:r>
    </w:p>
    <w:p w14:paraId="39599C68" w14:textId="77D11D54" w:rsidR="006C6BFE" w:rsidRDefault="00907B25" w:rsidP="00AD52F9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Wykonanie projektu graficznego dwustronnych </w:t>
      </w:r>
      <w:r>
        <w:rPr>
          <w:rFonts w:ascii="Calibri" w:eastAsia="Calibri" w:hAnsi="Calibri" w:cs="Calibri"/>
        </w:rPr>
        <w:t>(różne grafiki po obu stronach tablicy)</w:t>
      </w:r>
      <w:r>
        <w:rPr>
          <w:rFonts w:ascii="Calibri" w:eastAsia="Calibri" w:hAnsi="Calibri" w:cs="Calibri"/>
          <w:color w:val="000000"/>
        </w:rPr>
        <w:t xml:space="preserve"> tablic informacyjnych o ssakach i ptakach morskich. Tablice  powinny być wykonane w kolorze, zawierać zdjęcia i opisy gatunków projektowych. Projekt tablic musi być skonsultowany i zaakceptowany przez Zamawiającego. Zamawiający </w:t>
      </w:r>
      <w:r>
        <w:rPr>
          <w:rFonts w:ascii="Calibri" w:eastAsia="Calibri" w:hAnsi="Calibri" w:cs="Calibri"/>
          <w:color w:val="000000"/>
        </w:rPr>
        <w:lastRenderedPageBreak/>
        <w:t>zobowiązuje się do dostarczenia niezbędnych materiałów (fotografii, logotypów, tekstu itd.), które umieszczone zostaną na projektach tablic.</w:t>
      </w:r>
    </w:p>
    <w:p w14:paraId="2C5F1D66" w14:textId="77777777" w:rsidR="00907B25" w:rsidRDefault="00907B25" w:rsidP="00AD52F9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Calibri" w:eastAsia="Calibri" w:hAnsi="Calibri" w:cs="Calibri"/>
          <w:b/>
        </w:rPr>
      </w:pPr>
    </w:p>
    <w:p w14:paraId="7A82F00B" w14:textId="633AE3E8" w:rsidR="00AD52F9" w:rsidRPr="006C6BFE" w:rsidRDefault="00907B25" w:rsidP="00AD52F9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</w:rPr>
        <w:t xml:space="preserve">c) </w:t>
      </w:r>
      <w:r w:rsidR="006C6BFE">
        <w:rPr>
          <w:rFonts w:ascii="Calibri" w:eastAsia="Calibri" w:hAnsi="Calibri" w:cs="Calibri"/>
          <w:b/>
          <w:color w:val="000000"/>
        </w:rPr>
        <w:t>wykonanie, transport,</w:t>
      </w:r>
      <w:r w:rsidR="00AD52F9">
        <w:rPr>
          <w:rFonts w:ascii="Calibri" w:eastAsia="Calibri" w:hAnsi="Calibri" w:cs="Calibri"/>
          <w:b/>
          <w:color w:val="000000"/>
        </w:rPr>
        <w:t xml:space="preserve"> montaż i nadzór nad montażem wykonanych tablic.</w:t>
      </w:r>
    </w:p>
    <w:p w14:paraId="0C3FD83A" w14:textId="70DAAA59" w:rsidR="00AD52F9" w:rsidRDefault="0053174E" w:rsidP="00AD52F9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Wykonanie</w:t>
      </w:r>
      <w:r w:rsidR="006C6BFE">
        <w:rPr>
          <w:rFonts w:ascii="Calibri" w:eastAsia="Calibri" w:hAnsi="Calibri" w:cs="Calibri"/>
          <w:color w:val="000000"/>
        </w:rPr>
        <w:t>, t</w:t>
      </w:r>
      <w:r w:rsidR="00AD52F9">
        <w:rPr>
          <w:rFonts w:ascii="Calibri" w:eastAsia="Calibri" w:hAnsi="Calibri" w:cs="Calibri"/>
          <w:color w:val="000000"/>
        </w:rPr>
        <w:t>ransport i montaż zostanie wykonany wg. następujących założeń:</w:t>
      </w:r>
    </w:p>
    <w:p w14:paraId="0856D0DC" w14:textId="366B36A4" w:rsidR="00AD52F9" w:rsidRDefault="00AD52F9" w:rsidP="00706CA4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 Montaż odbędzie się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w wyznaczonych przez Wykonawcę, po zdobyciu odpowiednich pozwoleń, 33 lokalizacjach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na całej długości polskiego wybrzeża (przybliżone lokalizacje zostaną wskazane przez Zamawiającego po zawarciu umowy). Posadowienie tablicy w wybranej lokalizacji nie może wiązać się z dodatkowymi opłatami np. dzierżawy terenu, na którym stanie tablica. W przypadku gdy wskazana przez Zamawiające lokalizacja będzie wymagała </w:t>
      </w:r>
      <w:r w:rsidRPr="00706CA4">
        <w:rPr>
          <w:rFonts w:ascii="Calibri" w:eastAsia="Calibri" w:hAnsi="Calibri" w:cs="Calibri"/>
          <w:color w:val="000000"/>
        </w:rPr>
        <w:t xml:space="preserve">poniesienia dodatkowych kosztów przez Zamawiającego, Wykonawca zgłosi się do Zamawiającego </w:t>
      </w:r>
      <w:r w:rsidR="0053174E">
        <w:rPr>
          <w:rFonts w:ascii="Calibri" w:eastAsia="Calibri" w:hAnsi="Calibri" w:cs="Calibri"/>
          <w:color w:val="000000"/>
        </w:rPr>
        <w:t xml:space="preserve">i zaproponuje nowe </w:t>
      </w:r>
      <w:r>
        <w:rPr>
          <w:rFonts w:ascii="Calibri" w:eastAsia="Calibri" w:hAnsi="Calibri" w:cs="Calibri"/>
          <w:color w:val="000000"/>
        </w:rPr>
        <w:t>lokalizacj</w:t>
      </w:r>
      <w:r w:rsidR="0053174E">
        <w:rPr>
          <w:rFonts w:ascii="Calibri" w:eastAsia="Calibri" w:hAnsi="Calibri" w:cs="Calibri"/>
          <w:color w:val="000000"/>
        </w:rPr>
        <w:t>e posadowienia tablic</w:t>
      </w:r>
      <w:r>
        <w:rPr>
          <w:rFonts w:ascii="Calibri" w:eastAsia="Calibri" w:hAnsi="Calibri" w:cs="Calibri"/>
          <w:color w:val="000000"/>
        </w:rPr>
        <w:t>.</w:t>
      </w:r>
    </w:p>
    <w:p w14:paraId="18668BDB" w14:textId="77777777" w:rsidR="00AD52F9" w:rsidRDefault="00AD52F9" w:rsidP="00AD52F9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Wykonanie fotodokumentacji (min. 2 zdjęcia tj. obu stron tablic) każdej zamontowanej tablicy wraz z opisem, której lokalizacji dotyczy dane zdjęcie – oraz podanie </w:t>
      </w:r>
      <w:proofErr w:type="spellStart"/>
      <w:r>
        <w:rPr>
          <w:rFonts w:ascii="Calibri" w:eastAsia="Calibri" w:hAnsi="Calibri" w:cs="Calibri"/>
          <w:color w:val="000000"/>
        </w:rPr>
        <w:t>koordynatów</w:t>
      </w:r>
      <w:proofErr w:type="spellEnd"/>
      <w:r>
        <w:rPr>
          <w:rFonts w:ascii="Calibri" w:eastAsia="Calibri" w:hAnsi="Calibri" w:cs="Calibri"/>
          <w:color w:val="000000"/>
        </w:rPr>
        <w:t xml:space="preserve"> GPS;</w:t>
      </w:r>
    </w:p>
    <w:p w14:paraId="362F8791" w14:textId="77777777" w:rsidR="00057582" w:rsidRDefault="00AD52F9" w:rsidP="00AD52F9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Calibri" w:eastAsia="Calibri" w:hAnsi="Calibri" w:cs="Calibri"/>
          <w:color w:val="000000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color w:val="000000"/>
        </w:rPr>
        <w:t xml:space="preserve">- Wykonawca zobowiązany zostaje do skontaktowania się z przedstawicielami zarządców terenu przed </w:t>
      </w:r>
      <w:r w:rsidR="00057582">
        <w:rPr>
          <w:rFonts w:ascii="Calibri" w:eastAsia="Calibri" w:hAnsi="Calibri" w:cs="Calibri"/>
          <w:color w:val="000000"/>
        </w:rPr>
        <w:t xml:space="preserve">montażem tablic w celu uzgodnienia możliwości posadowienia tablic </w:t>
      </w:r>
      <w:r w:rsidR="00057582">
        <w:rPr>
          <w:rFonts w:ascii="Calibri" w:eastAsia="Calibri" w:hAnsi="Calibri" w:cs="Calibri"/>
        </w:rPr>
        <w:t>w danym terminie</w:t>
      </w:r>
      <w:r w:rsidR="00057582">
        <w:rPr>
          <w:rFonts w:ascii="Calibri" w:eastAsia="Calibri" w:hAnsi="Calibri" w:cs="Calibri"/>
          <w:color w:val="000000"/>
        </w:rPr>
        <w:t>.</w:t>
      </w:r>
    </w:p>
    <w:p w14:paraId="4F77736E" w14:textId="77777777" w:rsidR="00AD52F9" w:rsidRDefault="00AD52F9" w:rsidP="00AD52F9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Calibri" w:eastAsia="Calibri" w:hAnsi="Calibri" w:cs="Calibri"/>
          <w:color w:val="000000"/>
        </w:rPr>
      </w:pPr>
    </w:p>
    <w:p w14:paraId="34942D36" w14:textId="77777777" w:rsidR="00AD52F9" w:rsidRDefault="00AD52F9" w:rsidP="00AD52F9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c) Konserwacja i wymiana tablic</w:t>
      </w:r>
    </w:p>
    <w:p w14:paraId="339739D3" w14:textId="77777777" w:rsidR="00AD52F9" w:rsidRDefault="00AD52F9" w:rsidP="00AD52F9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Konserwacja i wymiana tablic będzie polegać na renowacji i/lub ponownym posadowieniu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i/lub wymianie wnętrza tablic zniszczonych np. w</w:t>
      </w:r>
      <w:r>
        <w:rPr>
          <w:rFonts w:ascii="Calibri" w:eastAsia="Calibri" w:hAnsi="Calibri" w:cs="Calibri"/>
        </w:rPr>
        <w:t xml:space="preserve"> wyniku</w:t>
      </w:r>
      <w:r>
        <w:rPr>
          <w:rFonts w:ascii="Calibri" w:eastAsia="Calibri" w:hAnsi="Calibri" w:cs="Calibri"/>
          <w:color w:val="000000"/>
        </w:rPr>
        <w:t xml:space="preserve"> zniszczeń spowodowanych aktami wandalizmu lub gwałtownymi zjawiskami pogodowymi np. sztormami. </w:t>
      </w:r>
      <w:r>
        <w:rPr>
          <w:rFonts w:ascii="Calibri" w:eastAsia="Calibri" w:hAnsi="Calibri" w:cs="Calibri"/>
        </w:rPr>
        <w:t>Z szacunków Zamawiającego wynika, że konserwacja może dotyczyć ok. 20 sztuk tablic (w tym 10 sztuk całych tablic i 10 sztuk wnętrz tablic), jednak liczby te są trudne do przewidzenia i mogą ulec zmianie.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4B9218E3" w14:textId="77777777" w:rsidR="00AD52F9" w:rsidRDefault="00AD52F9" w:rsidP="00AD52F9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Calibri" w:eastAsia="Calibri" w:hAnsi="Calibri" w:cs="Calibri"/>
          <w:color w:val="000000"/>
        </w:rPr>
      </w:pPr>
    </w:p>
    <w:p w14:paraId="3ED19003" w14:textId="4F7DB07A" w:rsidR="00AD52F9" w:rsidRDefault="00AD52F9" w:rsidP="00AD52F9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Wykonawca</w:t>
      </w:r>
      <w:r>
        <w:rPr>
          <w:rFonts w:ascii="Calibri" w:eastAsia="Calibri" w:hAnsi="Calibri" w:cs="Calibri"/>
        </w:rPr>
        <w:t xml:space="preserve"> w formularzu oferty (zał. 4)</w:t>
      </w:r>
      <w:r>
        <w:rPr>
          <w:rFonts w:ascii="Calibri" w:eastAsia="Calibri" w:hAnsi="Calibri" w:cs="Calibri"/>
          <w:color w:val="000000"/>
        </w:rPr>
        <w:t xml:space="preserve"> przedstawi koszt wymiany jednej kompletnej tablicy, koszt zaimpregnowania konstrukcji drewnianej oraz koszt wymiany samego wnętrza tablicy. Zamawiający </w:t>
      </w:r>
      <w:r w:rsidR="009706E3">
        <w:rPr>
          <w:rFonts w:ascii="Calibri" w:eastAsia="Calibri" w:hAnsi="Calibri" w:cs="Calibri"/>
          <w:color w:val="000000"/>
        </w:rPr>
        <w:t xml:space="preserve">do połowy marca </w:t>
      </w:r>
      <w:r>
        <w:rPr>
          <w:rFonts w:ascii="Calibri" w:eastAsia="Calibri" w:hAnsi="Calibri" w:cs="Calibri"/>
          <w:color w:val="000000"/>
        </w:rPr>
        <w:t>20</w:t>
      </w:r>
      <w:r w:rsidR="009706E3">
        <w:rPr>
          <w:rFonts w:ascii="Calibri" w:eastAsia="Calibri" w:hAnsi="Calibri" w:cs="Calibri"/>
          <w:color w:val="000000"/>
        </w:rPr>
        <w:t>20</w:t>
      </w:r>
      <w:r>
        <w:rPr>
          <w:rFonts w:ascii="Calibri" w:eastAsia="Calibri" w:hAnsi="Calibri" w:cs="Calibri"/>
          <w:color w:val="000000"/>
        </w:rPr>
        <w:t xml:space="preserve"> roku przedstawi wykaz tablic, które należy poddać konserwacji. Koszt konserwacji powinien zawierać produkcję konstrukcji tablicy, wnętrza tablicy oraz dowozu i montażu. Ta część konserwacji powinna zostać wykonana do </w:t>
      </w:r>
      <w:r w:rsidR="009706E3">
        <w:rPr>
          <w:rFonts w:ascii="Calibri" w:eastAsia="Calibri" w:hAnsi="Calibri" w:cs="Calibri"/>
          <w:color w:val="000000"/>
        </w:rPr>
        <w:t>3</w:t>
      </w:r>
      <w:r w:rsidR="00057582">
        <w:rPr>
          <w:rFonts w:ascii="Calibri" w:eastAsia="Calibri" w:hAnsi="Calibri" w:cs="Calibri"/>
          <w:color w:val="000000"/>
        </w:rPr>
        <w:t>1</w:t>
      </w:r>
      <w:r w:rsidR="009706E3">
        <w:rPr>
          <w:rFonts w:ascii="Calibri" w:eastAsia="Calibri" w:hAnsi="Calibri" w:cs="Calibri"/>
          <w:color w:val="000000"/>
        </w:rPr>
        <w:t xml:space="preserve"> maja</w:t>
      </w:r>
      <w:r>
        <w:rPr>
          <w:rFonts w:ascii="Calibri" w:eastAsia="Calibri" w:hAnsi="Calibri" w:cs="Calibri"/>
          <w:color w:val="000000"/>
        </w:rPr>
        <w:t xml:space="preserve"> 2020. Jeśli powstanie taka potrzeba Wykonawcy zostanie zlecona konserwacja większej ilości tablic.</w:t>
      </w:r>
    </w:p>
    <w:p w14:paraId="0101FD3E" w14:textId="2E58468F" w:rsidR="00AD52F9" w:rsidRDefault="00AD52F9"/>
    <w:p w14:paraId="54EC8626" w14:textId="77777777" w:rsidR="00907B25" w:rsidRDefault="00907B25" w:rsidP="00907B25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 Specyfikacja techniczna dotycząca wykonania tablic:</w:t>
      </w:r>
    </w:p>
    <w:p w14:paraId="10E35465" w14:textId="77777777" w:rsidR="00907B25" w:rsidRDefault="00907B25" w:rsidP="00907B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Wnętrze tablicy: tablica z PCV o grubości 10 mm z wydrukiem wielkoformatowym w pełnym kolorze o rozdzielczości 720 </w:t>
      </w:r>
      <w:proofErr w:type="spellStart"/>
      <w:r>
        <w:rPr>
          <w:rFonts w:ascii="Calibri" w:eastAsia="Calibri" w:hAnsi="Calibri" w:cs="Calibri"/>
          <w:color w:val="000000"/>
        </w:rPr>
        <w:t>dpi</w:t>
      </w:r>
      <w:proofErr w:type="spellEnd"/>
      <w:r>
        <w:rPr>
          <w:rFonts w:ascii="Calibri" w:eastAsia="Calibri" w:hAnsi="Calibri" w:cs="Calibri"/>
          <w:color w:val="000000"/>
        </w:rPr>
        <w:t>, zabezpieczona laminatem UV, zapewniającym trwałą odporność na działanie promieni słonecznych, dwustronna, o wymiarach: szerokość 1m, wysokość 0,7 m.</w:t>
      </w:r>
    </w:p>
    <w:p w14:paraId="7C297271" w14:textId="77777777" w:rsidR="00907B25" w:rsidRDefault="00907B25" w:rsidP="00907B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Obramowanie i konstrukcja stawna z drewna wg. załączonego szkicu konstrukcji – szkic stanowi załącznik nr 2 do niniejszego zapytania ofertowego. Estetyka wykonania tablic powinna być zbieżna z estetyką tablic realizowanych w poprzednich projektach (zdjęcia tablic stanowią załącznik nr 3 do niniejszego zapytania ofertowego).</w:t>
      </w:r>
    </w:p>
    <w:p w14:paraId="5D184B64" w14:textId="77777777" w:rsidR="00907B25" w:rsidRDefault="00907B25" w:rsidP="00907B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Zastosowanie odpowiednich elementów mocujących i izolujących zapewniających niezbędną trwałość konstrukcji.</w:t>
      </w:r>
    </w:p>
    <w:p w14:paraId="08111C5D" w14:textId="77777777" w:rsidR="00907B25" w:rsidRDefault="00907B25" w:rsidP="00907B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Konstrukcja stawna wykonana z drewna, zabezpieczona przed niekorzystnymi warunkami atmosferycznymi, w szczególności deszczem, śniegiem, nadmierną wilgotnością (zastosowanie odpowiednich środków konserwujących dla elementów konstrukcji znajdujących się poniżej powierzchni terenu i powyżej powierzchni terenu).</w:t>
      </w:r>
    </w:p>
    <w:p w14:paraId="1379D7E1" w14:textId="77777777" w:rsidR="00907B25" w:rsidRDefault="00907B25" w:rsidP="00907B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Jedna strona </w:t>
      </w:r>
      <w:r>
        <w:rPr>
          <w:rFonts w:ascii="Calibri" w:eastAsia="Calibri" w:hAnsi="Calibri" w:cs="Calibri"/>
        </w:rPr>
        <w:t>tablicy</w:t>
      </w:r>
      <w:r>
        <w:rPr>
          <w:rFonts w:ascii="Calibri" w:eastAsia="Calibri" w:hAnsi="Calibri" w:cs="Calibri"/>
          <w:color w:val="000000"/>
        </w:rPr>
        <w:t xml:space="preserve"> przedstawiać powinna opisy i zdjęcia ssaków morskich (morświna i foki szarej) druga strona opisy i zdjęcia 5 gatunków ptaków projektowych (sieweczka obrożna, rybitwa rzeczna czubata, białoczelna, ostrygojad).</w:t>
      </w:r>
    </w:p>
    <w:p w14:paraId="0B97ADA0" w14:textId="77777777" w:rsidR="00907B25" w:rsidRDefault="00907B25"/>
    <w:p w14:paraId="7B4EB475" w14:textId="77777777" w:rsidR="00AD52F9" w:rsidRDefault="00AD52F9" w:rsidP="00AD52F9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Dodatkowe informacje ważne dla Wykonawców</w:t>
      </w:r>
    </w:p>
    <w:p w14:paraId="156DF0D5" w14:textId="77777777" w:rsidR="00AD52F9" w:rsidRDefault="00AD52F9" w:rsidP="00AD52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Zamawiający wymaga, aby w celu wypełniania zadań i obowiązków, o których mowa wyżej,   Wykonawca zapewnił w trakcie trwania umowy dyspozycyjność w zakresie niezbędnym do prawidłowej realizacji obowiązków. </w:t>
      </w:r>
    </w:p>
    <w:p w14:paraId="35BCC677" w14:textId="77777777" w:rsidR="00AD52F9" w:rsidRDefault="00AD52F9" w:rsidP="00AD52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Zamawiający przewiduje wypłatę zaliczki w wysokości do 10% wybranej oferty (w terminie 7 dni od podpisania umowy).</w:t>
      </w:r>
    </w:p>
    <w:p w14:paraId="261687B8" w14:textId="0BE3987A" w:rsidR="00AD52F9" w:rsidRDefault="00AD52F9" w:rsidP="00AD52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Zamawiający ma możliwość ubiegania się o wypłatę części zamówienia po posadowieniu</w:t>
      </w:r>
      <w:r w:rsidR="0053174E">
        <w:rPr>
          <w:rFonts w:ascii="Calibri" w:eastAsia="Calibri" w:hAnsi="Calibri" w:cs="Calibri"/>
        </w:rPr>
        <w:t xml:space="preserve"> 20 </w:t>
      </w:r>
      <w:r>
        <w:rPr>
          <w:rFonts w:ascii="Calibri" w:eastAsia="Calibri" w:hAnsi="Calibri" w:cs="Calibri"/>
        </w:rPr>
        <w:t>tablic.</w:t>
      </w:r>
    </w:p>
    <w:p w14:paraId="49615212" w14:textId="77777777" w:rsidR="00AD52F9" w:rsidRDefault="00AD52F9" w:rsidP="00AD52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Wykonawca zobowiązany jest wykonywać powierzone mu zadania w terminach gwarantujących ich należyte wykonanie, z należytą starannością wymaganą przy świadczeniu tego rodzaju usług.</w:t>
      </w:r>
    </w:p>
    <w:p w14:paraId="325ED644" w14:textId="77777777" w:rsidR="00AD52F9" w:rsidRDefault="00AD52F9"/>
    <w:sectPr w:rsidR="00AD5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44A5A" w14:textId="77777777" w:rsidR="00506EF3" w:rsidRDefault="00506EF3" w:rsidP="008D306C">
      <w:r>
        <w:separator/>
      </w:r>
    </w:p>
  </w:endnote>
  <w:endnote w:type="continuationSeparator" w:id="0">
    <w:p w14:paraId="4B7ECE86" w14:textId="77777777" w:rsidR="00506EF3" w:rsidRDefault="00506EF3" w:rsidP="008D3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A749E" w14:textId="77777777" w:rsidR="00506EF3" w:rsidRDefault="00506EF3" w:rsidP="008D306C">
      <w:r>
        <w:separator/>
      </w:r>
    </w:p>
  </w:footnote>
  <w:footnote w:type="continuationSeparator" w:id="0">
    <w:p w14:paraId="0CE6DFF5" w14:textId="77777777" w:rsidR="00506EF3" w:rsidRDefault="00506EF3" w:rsidP="008D3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438D7"/>
    <w:multiLevelType w:val="multilevel"/>
    <w:tmpl w:val="B4D02E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12D3B8E"/>
    <w:multiLevelType w:val="multilevel"/>
    <w:tmpl w:val="E03C1A36"/>
    <w:lvl w:ilvl="0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7D9506C3"/>
    <w:multiLevelType w:val="multilevel"/>
    <w:tmpl w:val="10BAF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2F9"/>
    <w:rsid w:val="00044C1F"/>
    <w:rsid w:val="00057582"/>
    <w:rsid w:val="004759F0"/>
    <w:rsid w:val="00506EF3"/>
    <w:rsid w:val="0053174E"/>
    <w:rsid w:val="006A2404"/>
    <w:rsid w:val="006C6BFE"/>
    <w:rsid w:val="00706CA4"/>
    <w:rsid w:val="008D306C"/>
    <w:rsid w:val="00907B25"/>
    <w:rsid w:val="009706E3"/>
    <w:rsid w:val="00A06DDE"/>
    <w:rsid w:val="00A9576E"/>
    <w:rsid w:val="00AD52F9"/>
    <w:rsid w:val="00FC3E81"/>
    <w:rsid w:val="00FE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FDD2D"/>
  <w15:chartTrackingRefBased/>
  <w15:docId w15:val="{EDBC5B08-748A-4BB7-8257-9D841533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D5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52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30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306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Stopka">
    <w:name w:val="footer"/>
    <w:basedOn w:val="Normalny"/>
    <w:link w:val="StopkaZnak"/>
    <w:uiPriority w:val="99"/>
    <w:unhideWhenUsed/>
    <w:rsid w:val="008D30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306C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75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758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758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75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758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5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582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1071</Words>
  <Characters>6427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Jankowski</dc:creator>
  <cp:keywords/>
  <dc:description/>
  <cp:lastModifiedBy>Małgorzata Dobrzyńska-Dąbska</cp:lastModifiedBy>
  <cp:revision>6</cp:revision>
  <dcterms:created xsi:type="dcterms:W3CDTF">2020-02-03T08:35:00Z</dcterms:created>
  <dcterms:modified xsi:type="dcterms:W3CDTF">2020-03-02T17:19:00Z</dcterms:modified>
</cp:coreProperties>
</file>